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7B" w:rsidRDefault="00586A7B" w:rsidP="0058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Edital nº. 01 de 05 de </w:t>
      </w:r>
      <w:proofErr w:type="gramStart"/>
      <w:r>
        <w:rPr>
          <w:rFonts w:ascii="Times New Roman" w:hAnsi="Times New Roman" w:cs="Times New Roman"/>
        </w:rPr>
        <w:t>Novembro</w:t>
      </w:r>
      <w:proofErr w:type="gramEnd"/>
      <w:r>
        <w:rPr>
          <w:rFonts w:ascii="Times New Roman" w:hAnsi="Times New Roman" w:cs="Times New Roman"/>
        </w:rPr>
        <w:t xml:space="preserve"> de 2019.</w:t>
      </w:r>
    </w:p>
    <w:p w:rsidR="00586A7B" w:rsidRDefault="00586A7B" w:rsidP="0058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COORDENAÇÃO DE MONITORIA – nos termos </w:t>
      </w:r>
      <w:r w:rsidRPr="00CC7E5B">
        <w:rPr>
          <w:rFonts w:ascii="Times New Roman" w:hAnsi="Times New Roman" w:cs="Times New Roman"/>
          <w:sz w:val="24"/>
          <w:szCs w:val="24"/>
        </w:rPr>
        <w:t xml:space="preserve">da </w:t>
      </w:r>
      <w:hyperlink r:id="rId7" w:tgtFrame="_blank" w:tooltip="Portaria de Monitoria" w:history="1">
        <w:r w:rsidRPr="00CC7E5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Portaria de Monitoria</w:t>
        </w:r>
      </w:hyperlink>
      <w:r>
        <w:rPr>
          <w:rFonts w:ascii="Times New Roman" w:hAnsi="Times New Roman" w:cs="Times New Roman"/>
          <w:sz w:val="24"/>
          <w:szCs w:val="24"/>
        </w:rPr>
        <w:t> (Nº 01 de 21 de Outubro de 2015), torna público o Edital nº.01 de 05 de Novembro de 2019, estabelecendo normas gerais para a realização do Processo Seletivo de bolsa de monitoria visando à seleção de estudantes dos cursos de graduação para o Programa de Monitoria do Centro Universitário de Mineiros - UNIFIMES para o ano de 2020, em conformidade com o Calendário Acadêmico 2020.</w:t>
      </w:r>
    </w:p>
    <w:p w:rsidR="00586A7B" w:rsidRDefault="00586A7B" w:rsidP="0058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DAS DISPOSIÇÕES PRELIMINARES </w:t>
      </w:r>
    </w:p>
    <w:p w:rsidR="00586A7B" w:rsidRDefault="00586A7B" w:rsidP="0058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O processo seletivo objeto deste Edital destina-se à seleção de estudantes dos cursos de graduação para o desenvolvimento de atividades de monitoria acadêmica remunerada no ano de 20</w:t>
      </w:r>
      <w:r w:rsidR="007D3C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no âmbito do Centro Universitário de Mineiros;</w:t>
      </w:r>
    </w:p>
    <w:p w:rsidR="00586A7B" w:rsidRDefault="00586A7B" w:rsidP="0058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O Programa de Monitoria se caracteriza como um processo educativo, cujas atividades se desenvolvem de forma conjunta por professores e estudantes. Os objetivos da monitoria são:</w:t>
      </w:r>
    </w:p>
    <w:p w:rsidR="00586A7B" w:rsidRDefault="00586A7B" w:rsidP="00586A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o espírito de trabalho em grupo de maneira solidária;</w:t>
      </w:r>
    </w:p>
    <w:p w:rsidR="00586A7B" w:rsidRDefault="00586A7B" w:rsidP="00586A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Estimular no estudante o interesse pela atividade docente; </w:t>
      </w:r>
    </w:p>
    <w:p w:rsidR="00586A7B" w:rsidRDefault="00586A7B" w:rsidP="00586A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Intensificar a cooperação entre o corpo docente e o estudante, nas atividades de ensino, pesquisa e extensão; </w:t>
      </w:r>
    </w:p>
    <w:p w:rsidR="00586A7B" w:rsidRDefault="00586A7B" w:rsidP="00586A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Oferecer ao estudante de graduação a oportunidade de se preparar para as atividades de ensino; </w:t>
      </w:r>
    </w:p>
    <w:p w:rsidR="00586A7B" w:rsidRDefault="00586A7B" w:rsidP="00586A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Estimular o estudante a desenvolver o hábito de estudo e superar dificuldades dos mesmos; </w:t>
      </w:r>
    </w:p>
    <w:p w:rsidR="00586A7B" w:rsidRDefault="00586A7B" w:rsidP="00586A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Contribuir para a melhoria do ensino de graduação na UNIFIMES.</w:t>
      </w:r>
    </w:p>
    <w:p w:rsidR="00586A7B" w:rsidRDefault="00586A7B" w:rsidP="00586A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monitorias são classificadas nas seguintes categorias: </w:t>
      </w:r>
    </w:p>
    <w:p w:rsidR="00586A7B" w:rsidRDefault="00586A7B" w:rsidP="00586A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Monitoria não remunerada feita por voluntários, que não terão compensação financeira pela atividade desenvolvida. </w:t>
      </w:r>
    </w:p>
    <w:p w:rsidR="00586A7B" w:rsidRDefault="00586A7B" w:rsidP="00586A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Monitoria remunerada por Bolsa Atividade, que terá desconto nas mensalidades de seu curso, de acordo com o artigo 16 do Regulamento do Programa de Bolsas e Incentivos aos Cursos de Graduação da UNIFIMES. </w:t>
      </w:r>
    </w:p>
    <w:p w:rsidR="00586A7B" w:rsidRDefault="00586A7B" w:rsidP="00586A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Monitoria para pagamento de contrapartida de Bolsas da Organização das Voluntária do Estado de Goiás - OVG e Bolsas da Prefeitura Municipal de Mineiros - PROUMIN.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DAS BOLSAS DE MONITORIA REMUNERADAS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2.1. </w:t>
      </w:r>
      <w:r>
        <w:rPr>
          <w:rFonts w:ascii="Times New Roman" w:hAnsi="Times New Roman" w:cs="Times New Roman"/>
        </w:rPr>
        <w:t xml:space="preserve">O número de bolsas remuneradas por curso encontra-se especificado no Anexo I no final desse edital.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2.2. </w:t>
      </w:r>
      <w:r>
        <w:rPr>
          <w:rFonts w:ascii="Times New Roman" w:hAnsi="Times New Roman" w:cs="Times New Roman"/>
          <w:bCs/>
        </w:rPr>
        <w:t>Para cada curso de graduação da UNIFIMES o</w:t>
      </w:r>
      <w:r>
        <w:rPr>
          <w:rFonts w:ascii="Times New Roman" w:hAnsi="Times New Roman" w:cs="Times New Roman"/>
        </w:rPr>
        <w:t xml:space="preserve"> professor orientador poderá orientar mais de um monitor, desde que a carga horária máxima das bolsas remuneradas não ultrapasse 40 (quarenta) horas mensais.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O monitor não pode ter acumulo de bolsas remuneradas nos cursos de graduação da UNIFIMES.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DAS INSCRIÇÕES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3.1. </w:t>
      </w:r>
      <w:r>
        <w:rPr>
          <w:rFonts w:ascii="Times New Roman" w:hAnsi="Times New Roman" w:cs="Times New Roman"/>
          <w:b/>
          <w:bCs/>
          <w:u w:val="single"/>
        </w:rPr>
        <w:t xml:space="preserve">As inscrições serão feitas junto à </w:t>
      </w:r>
      <w:r>
        <w:rPr>
          <w:rFonts w:ascii="Times New Roman" w:hAnsi="Times New Roman" w:cs="Times New Roman"/>
          <w:b/>
          <w:u w:val="single"/>
        </w:rPr>
        <w:t>Coordenação do curso. É de responsabilidade da Coordenação do curso e do Professor responsável pela vaga de monitoria, a publicação/divulgação do número de monitores, critérios e procedimentos para seleção, data, local, horário, e demais informações.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3.2.</w:t>
      </w:r>
      <w:r>
        <w:rPr>
          <w:rFonts w:ascii="Times New Roman" w:hAnsi="Times New Roman" w:cs="Times New Roman"/>
        </w:rPr>
        <w:t xml:space="preserve"> Todo o processo seletivo para </w:t>
      </w:r>
      <w:r>
        <w:rPr>
          <w:rFonts w:ascii="Times New Roman" w:hAnsi="Times New Roman" w:cs="Times New Roman"/>
          <w:b/>
        </w:rPr>
        <w:t>MONITORIA REMUNERADA</w:t>
      </w:r>
      <w:r>
        <w:rPr>
          <w:rFonts w:ascii="Times New Roman" w:hAnsi="Times New Roman" w:cs="Times New Roman"/>
        </w:rPr>
        <w:t xml:space="preserve"> para o </w:t>
      </w:r>
      <w:r>
        <w:rPr>
          <w:rFonts w:ascii="Times New Roman" w:hAnsi="Times New Roman" w:cs="Times New Roman"/>
          <w:b/>
          <w:u w:val="single"/>
        </w:rPr>
        <w:t>semestre de 20</w:t>
      </w:r>
      <w:r w:rsidR="007D3C5E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-1 deverá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ser realizado até o dia </w:t>
      </w:r>
      <w:r w:rsidR="00CC7E5B">
        <w:rPr>
          <w:rFonts w:ascii="Times New Roman" w:hAnsi="Times New Roman" w:cs="Times New Roman"/>
          <w:b/>
          <w:bCs/>
          <w:u w:val="single"/>
        </w:rPr>
        <w:t>15</w:t>
      </w:r>
      <w:r>
        <w:rPr>
          <w:rFonts w:ascii="Times New Roman" w:hAnsi="Times New Roman" w:cs="Times New Roman"/>
          <w:b/>
          <w:bCs/>
          <w:u w:val="single"/>
        </w:rPr>
        <w:t>/02/20</w:t>
      </w:r>
      <w:r w:rsidR="001959D7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 xml:space="preserve"> e para o semestre 20</w:t>
      </w:r>
      <w:r w:rsidR="001959D7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-2 até o dia 1</w:t>
      </w:r>
      <w:r w:rsidR="00CC7E5B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/08/20</w:t>
      </w:r>
      <w:r w:rsidR="001959D7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3.3.</w:t>
      </w:r>
      <w:r>
        <w:rPr>
          <w:rFonts w:ascii="Times New Roman" w:hAnsi="Times New Roman" w:cs="Times New Roman"/>
        </w:rPr>
        <w:t xml:space="preserve"> As inscrições nas demais modalidades de monitoria (voluntária e pagamento de contrapartida) poderão ser realizadas </w:t>
      </w:r>
      <w:r>
        <w:rPr>
          <w:rFonts w:ascii="Times New Roman" w:hAnsi="Times New Roman" w:cs="Times New Roman"/>
          <w:b/>
        </w:rPr>
        <w:t>EM FLUXO CONTÍNUO DURANTE TODO O ANO (EXCETO MONITORIA REMUNERADA)</w:t>
      </w:r>
      <w:r>
        <w:rPr>
          <w:rFonts w:ascii="Times New Roman" w:hAnsi="Times New Roman" w:cs="Times New Roman"/>
        </w:rPr>
        <w:t>, dependendo da necessidade do Curso e ou docentes.</w:t>
      </w:r>
    </w:p>
    <w:p w:rsidR="00586A7B" w:rsidRDefault="00586A7B" w:rsidP="00586A7B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DO PROCESSO SELETIVO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4.1.</w:t>
      </w:r>
      <w:r>
        <w:rPr>
          <w:rFonts w:ascii="Times New Roman" w:hAnsi="Times New Roman" w:cs="Times New Roman"/>
        </w:rPr>
        <w:t xml:space="preserve"> A seleção deverá levar em conta: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4.2.1</w:t>
      </w:r>
      <w:r>
        <w:rPr>
          <w:rFonts w:ascii="Times New Roman" w:hAnsi="Times New Roman" w:cs="Times New Roman"/>
        </w:rPr>
        <w:t>- O currículo do candidato, valorizando-se:</w:t>
      </w:r>
    </w:p>
    <w:p w:rsidR="00586A7B" w:rsidRDefault="00586A7B" w:rsidP="00586A7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Capacidade e vocação; </w:t>
      </w:r>
    </w:p>
    <w:p w:rsidR="00586A7B" w:rsidRDefault="00586A7B" w:rsidP="00586A7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Resultados obtidos no período letivo anterior; </w:t>
      </w:r>
    </w:p>
    <w:p w:rsidR="00586A7B" w:rsidRDefault="00586A7B" w:rsidP="00586A7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Assiduidade;</w:t>
      </w:r>
    </w:p>
    <w:p w:rsidR="00586A7B" w:rsidRDefault="00586A7B" w:rsidP="00586A7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Conduta; </w:t>
      </w:r>
    </w:p>
    <w:p w:rsidR="00586A7B" w:rsidRDefault="00586A7B" w:rsidP="00586A7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Atividades realizadas de ensino, pesquisa e extensão </w:t>
      </w:r>
    </w:p>
    <w:p w:rsidR="00586A7B" w:rsidRDefault="00586A7B" w:rsidP="00586A7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Participação em eventos acadêmicos e publicações. </w:t>
      </w:r>
    </w:p>
    <w:p w:rsidR="00586A7B" w:rsidRDefault="00586A7B" w:rsidP="00586A7B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4.2.2. </w:t>
      </w:r>
      <w:r>
        <w:rPr>
          <w:rFonts w:ascii="Times New Roman" w:hAnsi="Times New Roman" w:cs="Times New Roman"/>
        </w:rPr>
        <w:t>Entrevista, onde se avaliará:</w:t>
      </w:r>
    </w:p>
    <w:p w:rsidR="00586A7B" w:rsidRDefault="00586A7B" w:rsidP="00586A7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O interesse geral do candidato na monitoria e, em especial, na disciplina ou no conjunto de disciplinas afins, a que concorre; </w:t>
      </w:r>
    </w:p>
    <w:p w:rsidR="00586A7B" w:rsidRDefault="00586A7B" w:rsidP="00586A7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Cultura geral, criatividade e disponibilidade do candidato.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4.2.3. </w:t>
      </w:r>
      <w:r>
        <w:rPr>
          <w:rFonts w:ascii="Times New Roman" w:hAnsi="Times New Roman" w:cs="Times New Roman"/>
        </w:rPr>
        <w:t xml:space="preserve">Prova escrita específica sobre o assunto da disciplina e caso necessário, adicionalmente outras modalidades de avaliação.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O exame de seleção será realizado pelo professor responsável pela disciplina junto com a Coordenação de Curso, sendo </w:t>
      </w:r>
      <w:r>
        <w:rPr>
          <w:rFonts w:ascii="Times New Roman" w:hAnsi="Times New Roman" w:cs="Times New Roman"/>
          <w:b/>
          <w:u w:val="single"/>
        </w:rPr>
        <w:t>de responsabilidade dos mesmos a organização, aplicação e divulgação do processo seletivo.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4.4. </w:t>
      </w:r>
      <w:r>
        <w:rPr>
          <w:rFonts w:ascii="Times New Roman" w:hAnsi="Times New Roman" w:cs="Times New Roman"/>
        </w:rPr>
        <w:t>Poderão se inscrever apenas estudantes devidamente vinculados aos cursos de graduação da UNIFIMES e aprovados na disciplina pleiteada.</w:t>
      </w:r>
    </w:p>
    <w:p w:rsidR="00586A7B" w:rsidRPr="00CC7E5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4.5. </w:t>
      </w:r>
      <w:r>
        <w:rPr>
          <w:rFonts w:ascii="Times New Roman" w:hAnsi="Times New Roman" w:cs="Times New Roman"/>
        </w:rPr>
        <w:t xml:space="preserve">O candidato poderá concorrer a mais de uma vaga, desde que possua os requisitos necessários e as datas de realização da seleção para as diferentes disciplinas não </w:t>
      </w:r>
      <w:r w:rsidRPr="00CC7E5B">
        <w:rPr>
          <w:rFonts w:ascii="Times New Roman" w:hAnsi="Times New Roman" w:cs="Times New Roman"/>
          <w:color w:val="auto"/>
        </w:rPr>
        <w:t>coincidam. Caso seja aprovado para mais de uma vaga, o candidato deverá optar por uma delas. Para a ocupação da vaga dispensada será convocado o candidato classificado em segundo lugar.</w:t>
      </w:r>
    </w:p>
    <w:p w:rsidR="00586A7B" w:rsidRPr="00CC7E5B" w:rsidRDefault="00586A7B" w:rsidP="00586A7B">
      <w:pPr>
        <w:pStyle w:val="texto"/>
        <w:spacing w:before="0" w:beforeAutospacing="0" w:after="0" w:afterAutospacing="0" w:line="360" w:lineRule="auto"/>
        <w:ind w:left="360"/>
        <w:jc w:val="both"/>
      </w:pPr>
      <w:r w:rsidRPr="00CC7E5B">
        <w:rPr>
          <w:b/>
          <w:bCs/>
        </w:rPr>
        <w:t xml:space="preserve">4.6. </w:t>
      </w:r>
      <w:r w:rsidRPr="00CC7E5B">
        <w:t>Não será permitido se candidatar à MONITORIA REMUNERADA, estudantes que já possuam algum tipo de bolsa. Podendo se candidatar a outras modalidades de monitoria desse edital (voluntária ou contrapartida de bolsa).</w:t>
      </w:r>
    </w:p>
    <w:p w:rsidR="00586A7B" w:rsidRPr="00CC7E5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86A7B" w:rsidRPr="00CC7E5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  <w:r w:rsidRPr="00CC7E5B">
        <w:rPr>
          <w:rFonts w:ascii="Times New Roman" w:hAnsi="Times New Roman" w:cs="Times New Roman"/>
          <w:b/>
          <w:bCs/>
          <w:color w:val="auto"/>
        </w:rPr>
        <w:t>5. DOS RESULTADOS E INTERPOSIÇÃO DE RECURSOS</w:t>
      </w:r>
    </w:p>
    <w:p w:rsidR="00586A7B" w:rsidRPr="00CC7E5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CC7E5B">
        <w:rPr>
          <w:rFonts w:ascii="Times New Roman" w:hAnsi="Times New Roman" w:cs="Times New Roman"/>
          <w:b/>
          <w:bCs/>
          <w:color w:val="auto"/>
        </w:rPr>
        <w:lastRenderedPageBreak/>
        <w:t xml:space="preserve">5.1 </w:t>
      </w:r>
      <w:r w:rsidRPr="00CC7E5B">
        <w:rPr>
          <w:rFonts w:ascii="Times New Roman" w:hAnsi="Times New Roman" w:cs="Times New Roman"/>
          <w:bCs/>
          <w:color w:val="auto"/>
        </w:rPr>
        <w:t>A coordenação do curso divulga o Resultado Preliminar do Processo Seletivo do Programa de Monitoria</w:t>
      </w:r>
      <w:r w:rsidRPr="00CC7E5B">
        <w:rPr>
          <w:rFonts w:ascii="Times New Roman" w:hAnsi="Times New Roman" w:cs="Times New Roman"/>
          <w:b/>
          <w:bCs/>
          <w:color w:val="auto"/>
        </w:rPr>
        <w:t>, a</w:t>
      </w:r>
      <w:r w:rsidRPr="00CC7E5B">
        <w:rPr>
          <w:rFonts w:ascii="Times New Roman" w:hAnsi="Times New Roman" w:cs="Times New Roman"/>
          <w:b/>
          <w:bCs/>
          <w:color w:val="auto"/>
          <w:u w:val="single"/>
        </w:rPr>
        <w:t xml:space="preserve">té o dia </w:t>
      </w:r>
      <w:r w:rsidR="00CC7E5B">
        <w:rPr>
          <w:rFonts w:ascii="Times New Roman" w:hAnsi="Times New Roman" w:cs="Times New Roman"/>
          <w:b/>
          <w:bCs/>
          <w:color w:val="auto"/>
          <w:u w:val="single"/>
        </w:rPr>
        <w:t>17</w:t>
      </w:r>
      <w:r w:rsidRPr="00CC7E5B">
        <w:rPr>
          <w:rFonts w:ascii="Times New Roman" w:hAnsi="Times New Roman" w:cs="Times New Roman"/>
          <w:b/>
          <w:bCs/>
          <w:color w:val="auto"/>
          <w:u w:val="single"/>
        </w:rPr>
        <w:t>/02/20</w:t>
      </w:r>
      <w:r w:rsidR="001959D7" w:rsidRPr="00CC7E5B">
        <w:rPr>
          <w:rFonts w:ascii="Times New Roman" w:hAnsi="Times New Roman" w:cs="Times New Roman"/>
          <w:b/>
          <w:bCs/>
          <w:color w:val="auto"/>
          <w:u w:val="single"/>
        </w:rPr>
        <w:t>20</w:t>
      </w:r>
      <w:r w:rsidRPr="00CC7E5B">
        <w:rPr>
          <w:rFonts w:ascii="Times New Roman" w:hAnsi="Times New Roman" w:cs="Times New Roman"/>
          <w:b/>
          <w:bCs/>
          <w:color w:val="auto"/>
          <w:u w:val="single"/>
        </w:rPr>
        <w:t>, para o semestre 20</w:t>
      </w:r>
      <w:r w:rsidR="001959D7" w:rsidRPr="00CC7E5B">
        <w:rPr>
          <w:rFonts w:ascii="Times New Roman" w:hAnsi="Times New Roman" w:cs="Times New Roman"/>
          <w:b/>
          <w:bCs/>
          <w:color w:val="auto"/>
          <w:u w:val="single"/>
        </w:rPr>
        <w:t>20</w:t>
      </w:r>
      <w:r w:rsidRPr="00CC7E5B">
        <w:rPr>
          <w:rFonts w:ascii="Times New Roman" w:hAnsi="Times New Roman" w:cs="Times New Roman"/>
          <w:b/>
          <w:bCs/>
          <w:color w:val="auto"/>
          <w:u w:val="single"/>
        </w:rPr>
        <w:t>-1 e até o dia 1</w:t>
      </w:r>
      <w:r w:rsidR="00CC7E5B">
        <w:rPr>
          <w:rFonts w:ascii="Times New Roman" w:hAnsi="Times New Roman" w:cs="Times New Roman"/>
          <w:b/>
          <w:bCs/>
          <w:color w:val="auto"/>
          <w:u w:val="single"/>
        </w:rPr>
        <w:t>7</w:t>
      </w:r>
      <w:r w:rsidRPr="00CC7E5B">
        <w:rPr>
          <w:rFonts w:ascii="Times New Roman" w:hAnsi="Times New Roman" w:cs="Times New Roman"/>
          <w:b/>
          <w:bCs/>
          <w:color w:val="auto"/>
          <w:u w:val="single"/>
        </w:rPr>
        <w:t>/08/20</w:t>
      </w:r>
      <w:r w:rsidR="001959D7" w:rsidRPr="00CC7E5B">
        <w:rPr>
          <w:rFonts w:ascii="Times New Roman" w:hAnsi="Times New Roman" w:cs="Times New Roman"/>
          <w:b/>
          <w:bCs/>
          <w:color w:val="auto"/>
          <w:u w:val="single"/>
        </w:rPr>
        <w:t>20</w:t>
      </w:r>
      <w:r w:rsidRPr="00CC7E5B">
        <w:rPr>
          <w:rFonts w:ascii="Times New Roman" w:hAnsi="Times New Roman" w:cs="Times New Roman"/>
          <w:b/>
          <w:bCs/>
          <w:color w:val="auto"/>
          <w:u w:val="single"/>
        </w:rPr>
        <w:t>, para o semestre 20</w:t>
      </w:r>
      <w:r w:rsidR="001959D7" w:rsidRPr="00CC7E5B">
        <w:rPr>
          <w:rFonts w:ascii="Times New Roman" w:hAnsi="Times New Roman" w:cs="Times New Roman"/>
          <w:b/>
          <w:bCs/>
          <w:color w:val="auto"/>
          <w:u w:val="single"/>
        </w:rPr>
        <w:t>20</w:t>
      </w:r>
      <w:r w:rsidRPr="00CC7E5B">
        <w:rPr>
          <w:rFonts w:ascii="Times New Roman" w:hAnsi="Times New Roman" w:cs="Times New Roman"/>
          <w:b/>
          <w:bCs/>
          <w:color w:val="auto"/>
          <w:u w:val="single"/>
        </w:rPr>
        <w:t>-2</w:t>
      </w:r>
      <w:r w:rsidRPr="00CC7E5B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CC7E5B">
        <w:rPr>
          <w:rFonts w:ascii="Times New Roman" w:hAnsi="Times New Roman" w:cs="Times New Roman"/>
          <w:bCs/>
          <w:color w:val="auto"/>
        </w:rPr>
        <w:t>segundo o cronograma descrito no item 8 deste Edital.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5.2 </w:t>
      </w:r>
      <w:r>
        <w:rPr>
          <w:rFonts w:ascii="Times New Roman" w:hAnsi="Times New Roman" w:cs="Times New Roman"/>
          <w:bCs/>
        </w:rPr>
        <w:t>A Coordenação do curso recebe Interposição de Recursos do Processo Seletivo do Programa de Monitoria,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até o dia </w:t>
      </w:r>
      <w:r w:rsidR="00CC7E5B">
        <w:rPr>
          <w:rFonts w:ascii="Times New Roman" w:hAnsi="Times New Roman" w:cs="Times New Roman"/>
          <w:b/>
          <w:bCs/>
          <w:u w:val="single"/>
        </w:rPr>
        <w:t>16</w:t>
      </w:r>
      <w:r w:rsidR="00B94402">
        <w:rPr>
          <w:rFonts w:ascii="Times New Roman" w:hAnsi="Times New Roman" w:cs="Times New Roman"/>
          <w:b/>
          <w:bCs/>
          <w:u w:val="single"/>
        </w:rPr>
        <w:t>/</w:t>
      </w:r>
      <w:r>
        <w:rPr>
          <w:rFonts w:ascii="Times New Roman" w:hAnsi="Times New Roman" w:cs="Times New Roman"/>
          <w:b/>
          <w:bCs/>
          <w:u w:val="single"/>
        </w:rPr>
        <w:t>02/20</w:t>
      </w:r>
      <w:r w:rsidR="00470EC6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>, para o semestre 20</w:t>
      </w:r>
      <w:r w:rsidR="00470EC6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 xml:space="preserve">-1 e </w:t>
      </w:r>
      <w:r w:rsidR="00CC7E5B">
        <w:rPr>
          <w:rFonts w:ascii="Times New Roman" w:hAnsi="Times New Roman" w:cs="Times New Roman"/>
          <w:b/>
          <w:bCs/>
          <w:u w:val="single"/>
        </w:rPr>
        <w:t>16</w:t>
      </w:r>
      <w:r>
        <w:rPr>
          <w:rFonts w:ascii="Times New Roman" w:hAnsi="Times New Roman" w:cs="Times New Roman"/>
          <w:b/>
          <w:bCs/>
          <w:u w:val="single"/>
        </w:rPr>
        <w:t>/08/20</w:t>
      </w:r>
      <w:r w:rsidR="00470EC6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>, para o semestre 20</w:t>
      </w:r>
      <w:r w:rsidR="00470EC6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>-2,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em conformidade com o item 8 deste.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5.3 </w:t>
      </w:r>
      <w:r>
        <w:rPr>
          <w:rFonts w:ascii="Times New Roman" w:hAnsi="Times New Roman" w:cs="Times New Roman"/>
        </w:rPr>
        <w:t xml:space="preserve">O resultado final será disponibilizado pela Coordenação do Curso, </w:t>
      </w:r>
      <w:r>
        <w:rPr>
          <w:rFonts w:ascii="Times New Roman" w:hAnsi="Times New Roman" w:cs="Times New Roman"/>
          <w:b/>
          <w:bCs/>
          <w:u w:val="single"/>
        </w:rPr>
        <w:t>até o dia 18/02/20</w:t>
      </w:r>
      <w:r w:rsidR="00470EC6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>, para o semestre 20</w:t>
      </w:r>
      <w:r w:rsidR="00470EC6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 xml:space="preserve">-1 e, até o dia </w:t>
      </w:r>
      <w:r w:rsidR="00CC7E5B">
        <w:rPr>
          <w:rFonts w:ascii="Times New Roman" w:hAnsi="Times New Roman" w:cs="Times New Roman"/>
          <w:b/>
          <w:bCs/>
          <w:u w:val="single"/>
        </w:rPr>
        <w:t>18</w:t>
      </w:r>
      <w:r>
        <w:rPr>
          <w:rFonts w:ascii="Times New Roman" w:hAnsi="Times New Roman" w:cs="Times New Roman"/>
          <w:b/>
          <w:bCs/>
          <w:u w:val="single"/>
        </w:rPr>
        <w:t>/08/20</w:t>
      </w:r>
      <w:r w:rsidR="00470EC6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>, para o semestre 20</w:t>
      </w:r>
      <w:r w:rsidR="00470EC6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>-2</w:t>
      </w:r>
      <w:r>
        <w:rPr>
          <w:rFonts w:ascii="Times New Roman" w:hAnsi="Times New Roman" w:cs="Times New Roman"/>
        </w:rPr>
        <w:t xml:space="preserve">, segundo cronograma descrito no </w:t>
      </w:r>
      <w:r>
        <w:rPr>
          <w:rFonts w:ascii="Times New Roman" w:hAnsi="Times New Roman" w:cs="Times New Roman"/>
          <w:b/>
        </w:rPr>
        <w:t xml:space="preserve">item 8 </w:t>
      </w:r>
      <w:r>
        <w:rPr>
          <w:rFonts w:ascii="Times New Roman" w:hAnsi="Times New Roman" w:cs="Times New Roman"/>
        </w:rPr>
        <w:t>deste edital.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Parágrafo Primeiro </w:t>
      </w:r>
      <w:r>
        <w:rPr>
          <w:rFonts w:ascii="Times New Roman" w:hAnsi="Times New Roman" w:cs="Times New Roman"/>
          <w:bCs/>
        </w:rPr>
        <w:t>– Os recursos deverão ser protocolados aos coordenadores de curso.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Parágrafo Segundo </w:t>
      </w:r>
      <w:r>
        <w:rPr>
          <w:rFonts w:ascii="Times New Roman" w:hAnsi="Times New Roman" w:cs="Times New Roman"/>
          <w:bCs/>
        </w:rPr>
        <w:t>– O formulário do requerimento encontra-se na página da Monitoria.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DOS SELECIONADOS </w:t>
      </w:r>
    </w:p>
    <w:p w:rsidR="00586A7B" w:rsidRPr="00B94402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6.1.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Como requisito obrigatório para o início do exercício de suas funções, os </w:t>
      </w:r>
      <w:r w:rsidRPr="00B94402">
        <w:rPr>
          <w:rFonts w:ascii="Times New Roman" w:hAnsi="Times New Roman" w:cs="Times New Roman"/>
          <w:color w:val="auto"/>
        </w:rPr>
        <w:t xml:space="preserve">monitores devem preencher de maneira completa e com as devidas assinaturas o </w:t>
      </w:r>
      <w:hyperlink r:id="rId8" w:tgtFrame="_blank" w:tooltip="Formulário Unificado" w:history="1">
        <w:r w:rsidRPr="00B94402">
          <w:rPr>
            <w:rStyle w:val="Hyperlink"/>
            <w:rFonts w:ascii="Times New Roman" w:hAnsi="Times New Roman" w:cs="Times New Roman"/>
            <w:b/>
            <w:color w:val="auto"/>
          </w:rPr>
          <w:t>Formulário Unificado</w:t>
        </w:r>
      </w:hyperlink>
      <w:r w:rsidRPr="00B94402">
        <w:rPr>
          <w:rFonts w:ascii="Times New Roman" w:hAnsi="Times New Roman" w:cs="Times New Roman"/>
          <w:b/>
          <w:color w:val="auto"/>
          <w:u w:val="single"/>
        </w:rPr>
        <w:t>;</w:t>
      </w:r>
      <w:r w:rsidRPr="00B94402">
        <w:rPr>
          <w:rFonts w:ascii="Times New Roman" w:hAnsi="Times New Roman" w:cs="Times New Roman"/>
          <w:color w:val="auto"/>
        </w:rPr>
        <w:t xml:space="preserve"> </w:t>
      </w:r>
    </w:p>
    <w:p w:rsidR="00586A7B" w:rsidRPr="00B94402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B94402">
        <w:rPr>
          <w:rFonts w:ascii="Times New Roman" w:hAnsi="Times New Roman" w:cs="Times New Roman"/>
          <w:b/>
          <w:bCs/>
          <w:color w:val="auto"/>
        </w:rPr>
        <w:t>6.2.</w:t>
      </w:r>
      <w:r w:rsidRPr="00B94402">
        <w:rPr>
          <w:rFonts w:ascii="Times New Roman" w:hAnsi="Times New Roman" w:cs="Times New Roman"/>
          <w:bCs/>
          <w:color w:val="auto"/>
        </w:rPr>
        <w:t xml:space="preserve"> </w:t>
      </w:r>
      <w:r w:rsidRPr="00B94402">
        <w:rPr>
          <w:rFonts w:ascii="Times New Roman" w:hAnsi="Times New Roman" w:cs="Times New Roman"/>
          <w:color w:val="auto"/>
        </w:rPr>
        <w:t xml:space="preserve">O Coordenador de Curso deverá encaminhar à Coordenação de Monitoria, </w:t>
      </w:r>
      <w:r w:rsidRPr="00B94402">
        <w:rPr>
          <w:rFonts w:ascii="Times New Roman" w:hAnsi="Times New Roman" w:cs="Times New Roman"/>
          <w:b/>
          <w:color w:val="auto"/>
        </w:rPr>
        <w:t>até o dia 18/02/20</w:t>
      </w:r>
      <w:r w:rsidR="00FF21AD" w:rsidRPr="00B94402">
        <w:rPr>
          <w:rFonts w:ascii="Times New Roman" w:hAnsi="Times New Roman" w:cs="Times New Roman"/>
          <w:b/>
          <w:color w:val="auto"/>
        </w:rPr>
        <w:t>20</w:t>
      </w:r>
      <w:r w:rsidRPr="00B94402">
        <w:rPr>
          <w:rFonts w:ascii="Times New Roman" w:hAnsi="Times New Roman" w:cs="Times New Roman"/>
          <w:b/>
          <w:color w:val="auto"/>
        </w:rPr>
        <w:t>, para o semestre 20</w:t>
      </w:r>
      <w:r w:rsidR="00FF21AD" w:rsidRPr="00B94402">
        <w:rPr>
          <w:rFonts w:ascii="Times New Roman" w:hAnsi="Times New Roman" w:cs="Times New Roman"/>
          <w:b/>
          <w:color w:val="auto"/>
        </w:rPr>
        <w:t>20</w:t>
      </w:r>
      <w:r w:rsidRPr="00B94402">
        <w:rPr>
          <w:rFonts w:ascii="Times New Roman" w:hAnsi="Times New Roman" w:cs="Times New Roman"/>
          <w:b/>
          <w:color w:val="auto"/>
        </w:rPr>
        <w:t xml:space="preserve">-1 e até o dia </w:t>
      </w:r>
      <w:r w:rsidR="00CC7E5B" w:rsidRPr="00B94402">
        <w:rPr>
          <w:rFonts w:ascii="Times New Roman" w:hAnsi="Times New Roman" w:cs="Times New Roman"/>
          <w:b/>
          <w:color w:val="auto"/>
        </w:rPr>
        <w:t>18</w:t>
      </w:r>
      <w:r w:rsidRPr="00B94402">
        <w:rPr>
          <w:rFonts w:ascii="Times New Roman" w:hAnsi="Times New Roman" w:cs="Times New Roman"/>
          <w:b/>
          <w:color w:val="auto"/>
        </w:rPr>
        <w:t>/08/20</w:t>
      </w:r>
      <w:r w:rsidR="00FF21AD" w:rsidRPr="00B94402">
        <w:rPr>
          <w:rFonts w:ascii="Times New Roman" w:hAnsi="Times New Roman" w:cs="Times New Roman"/>
          <w:b/>
          <w:color w:val="auto"/>
        </w:rPr>
        <w:t>20</w:t>
      </w:r>
      <w:r w:rsidRPr="00B94402">
        <w:rPr>
          <w:rFonts w:ascii="Times New Roman" w:hAnsi="Times New Roman" w:cs="Times New Roman"/>
          <w:b/>
          <w:color w:val="auto"/>
        </w:rPr>
        <w:t>, para o semestre 20</w:t>
      </w:r>
      <w:r w:rsidR="00FF21AD" w:rsidRPr="00B94402">
        <w:rPr>
          <w:rFonts w:ascii="Times New Roman" w:hAnsi="Times New Roman" w:cs="Times New Roman"/>
          <w:b/>
          <w:color w:val="auto"/>
        </w:rPr>
        <w:t>20</w:t>
      </w:r>
      <w:r w:rsidRPr="00B94402">
        <w:rPr>
          <w:rFonts w:ascii="Times New Roman" w:hAnsi="Times New Roman" w:cs="Times New Roman"/>
          <w:b/>
          <w:color w:val="auto"/>
        </w:rPr>
        <w:t>-2</w:t>
      </w:r>
      <w:r w:rsidRPr="00B94402">
        <w:rPr>
          <w:rFonts w:ascii="Times New Roman" w:hAnsi="Times New Roman" w:cs="Times New Roman"/>
          <w:color w:val="auto"/>
        </w:rPr>
        <w:t xml:space="preserve">, segundo cronograma descrito no </w:t>
      </w:r>
      <w:r w:rsidRPr="00B94402">
        <w:rPr>
          <w:rFonts w:ascii="Times New Roman" w:hAnsi="Times New Roman" w:cs="Times New Roman"/>
          <w:b/>
          <w:color w:val="auto"/>
        </w:rPr>
        <w:t>item 8</w:t>
      </w:r>
      <w:r w:rsidRPr="00B94402">
        <w:rPr>
          <w:rFonts w:ascii="Times New Roman" w:hAnsi="Times New Roman" w:cs="Times New Roman"/>
          <w:color w:val="auto"/>
        </w:rPr>
        <w:t xml:space="preserve"> deste edital, a documentação descrita abaixo</w:t>
      </w:r>
      <w:r w:rsidRPr="00B94402">
        <w:rPr>
          <w:rFonts w:ascii="Times New Roman" w:hAnsi="Times New Roman" w:cs="Times New Roman"/>
          <w:bCs/>
          <w:color w:val="auto"/>
        </w:rPr>
        <w:t xml:space="preserve"> por e-mail para </w:t>
      </w:r>
      <w:hyperlink r:id="rId9" w:history="1">
        <w:r w:rsidRPr="00B94402">
          <w:rPr>
            <w:rStyle w:val="Hyperlink"/>
            <w:rFonts w:ascii="Times New Roman" w:hAnsi="Times New Roman" w:cs="Times New Roman"/>
            <w:bCs/>
            <w:color w:val="auto"/>
          </w:rPr>
          <w:t>monitoria@unifimes.edu.br</w:t>
        </w:r>
      </w:hyperlink>
      <w:r w:rsidRPr="00B94402">
        <w:rPr>
          <w:rFonts w:ascii="Times New Roman" w:hAnsi="Times New Roman" w:cs="Times New Roman"/>
          <w:bCs/>
          <w:color w:val="auto"/>
        </w:rPr>
        <w:t xml:space="preserve"> e protocolar fisicamente em via única para o </w:t>
      </w:r>
      <w:r w:rsidRPr="00B94402">
        <w:rPr>
          <w:rFonts w:ascii="Times New Roman" w:hAnsi="Times New Roman" w:cs="Times New Roman"/>
          <w:color w:val="auto"/>
        </w:rPr>
        <w:t>Núcleo de Assuntos Estudantis</w:t>
      </w:r>
      <w:r w:rsidRPr="00B94402">
        <w:rPr>
          <w:rFonts w:ascii="Times New Roman" w:hAnsi="Times New Roman" w:cs="Times New Roman"/>
          <w:bCs/>
          <w:color w:val="auto"/>
        </w:rPr>
        <w:t>, Unidade I, Centro Universitário de Mineiros rua 22 - Setor Aeroporto.</w:t>
      </w:r>
      <w:r w:rsidRPr="00B944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86A7B" w:rsidRPr="00B94402" w:rsidRDefault="000C0CE0" w:rsidP="00586A7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hyperlink r:id="rId10" w:history="1">
        <w:r w:rsidR="00586A7B" w:rsidRPr="00B94402">
          <w:rPr>
            <w:rStyle w:val="Hyperlink"/>
            <w:rFonts w:ascii="Times New Roman" w:hAnsi="Times New Roman" w:cs="Times New Roman"/>
            <w:b/>
            <w:color w:val="auto"/>
          </w:rPr>
          <w:t>Planilha dos Monitores Selecionados</w:t>
        </w:r>
      </w:hyperlink>
      <w:r w:rsidR="00586A7B" w:rsidRPr="00B94402">
        <w:rPr>
          <w:rFonts w:ascii="Times New Roman" w:hAnsi="Times New Roman" w:cs="Times New Roman"/>
          <w:color w:val="auto"/>
        </w:rPr>
        <w:t xml:space="preserve">; </w:t>
      </w:r>
    </w:p>
    <w:p w:rsidR="00586A7B" w:rsidRPr="00B94402" w:rsidRDefault="000C0CE0" w:rsidP="00586A7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hyperlink r:id="rId11" w:tgtFrame="_blank" w:tooltip="Formulário Unificado" w:history="1">
        <w:r w:rsidR="00586A7B" w:rsidRPr="00B94402">
          <w:rPr>
            <w:rStyle w:val="Hyperlink"/>
            <w:rFonts w:ascii="Times New Roman" w:hAnsi="Times New Roman" w:cs="Times New Roman"/>
            <w:b/>
            <w:color w:val="auto"/>
          </w:rPr>
          <w:t>Formulário Unificado</w:t>
        </w:r>
      </w:hyperlink>
      <w:r w:rsidR="00586A7B" w:rsidRPr="00B94402">
        <w:rPr>
          <w:rFonts w:ascii="Times New Roman" w:hAnsi="Times New Roman" w:cs="Times New Roman"/>
          <w:b/>
          <w:color w:val="auto"/>
          <w:u w:val="single"/>
        </w:rPr>
        <w:t>.</w:t>
      </w:r>
      <w:r w:rsidR="00586A7B" w:rsidRPr="00B94402">
        <w:rPr>
          <w:rFonts w:ascii="Times New Roman" w:hAnsi="Times New Roman" w:cs="Times New Roman"/>
          <w:color w:val="auto"/>
        </w:rPr>
        <w:t xml:space="preserve">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94402">
        <w:rPr>
          <w:rFonts w:ascii="Times New Roman" w:hAnsi="Times New Roman" w:cs="Times New Roman"/>
          <w:b/>
          <w:color w:val="auto"/>
        </w:rPr>
        <w:t>6.3</w:t>
      </w:r>
      <w:r w:rsidRPr="00B94402">
        <w:rPr>
          <w:rFonts w:ascii="Times New Roman" w:hAnsi="Times New Roman" w:cs="Times New Roman"/>
          <w:color w:val="auto"/>
        </w:rPr>
        <w:t xml:space="preserve">. A bolsa de monitoria será concedida mensalmente ao aprovado na ordem de classificação e enquanto estiver </w:t>
      </w:r>
      <w:r>
        <w:rPr>
          <w:rFonts w:ascii="Times New Roman" w:hAnsi="Times New Roman" w:cs="Times New Roman"/>
        </w:rPr>
        <w:t xml:space="preserve">no exercício de suas funções, no mês posterior ao envio dos formulários preenchidos de maneira correta e completa à Coordenadoria de </w:t>
      </w:r>
      <w:r>
        <w:rPr>
          <w:rFonts w:ascii="Times New Roman" w:hAnsi="Times New Roman" w:cs="Times New Roman"/>
        </w:rPr>
        <w:lastRenderedPageBreak/>
        <w:t>Monitoria. Formulários incompletos poderão acarretar em atraso no pagamento da bolsa.</w:t>
      </w:r>
    </w:p>
    <w:p w:rsidR="00586A7B" w:rsidRDefault="00586A7B" w:rsidP="00586A7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6.4.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Nos </w:t>
      </w:r>
      <w:r w:rsidRPr="00B94402">
        <w:rPr>
          <w:rFonts w:ascii="Times New Roman" w:eastAsia="Times New Roman" w:hAnsi="Times New Roman" w:cs="Times New Roman"/>
          <w:sz w:val="24"/>
        </w:rPr>
        <w:t xml:space="preserve">meses subsequentes à aprovação, os monitores e orientadores deverão encaminhar mensalmente por e-mail para </w:t>
      </w:r>
      <w:hyperlink r:id="rId12" w:history="1">
        <w:r w:rsidRPr="00B94402">
          <w:rPr>
            <w:rStyle w:val="Hyperlink"/>
            <w:rFonts w:ascii="Times New Roman" w:eastAsia="Times New Roman" w:hAnsi="Times New Roman" w:cs="Times New Roman"/>
            <w:color w:val="auto"/>
            <w:sz w:val="24"/>
          </w:rPr>
          <w:t>monitoria@unifimes.edu.br</w:t>
        </w:r>
      </w:hyperlink>
      <w:r w:rsidRPr="00B94402">
        <w:rPr>
          <w:rFonts w:ascii="Times New Roman" w:eastAsia="Times New Roman" w:hAnsi="Times New Roman" w:cs="Times New Roman"/>
          <w:sz w:val="24"/>
        </w:rPr>
        <w:t xml:space="preserve"> o </w:t>
      </w:r>
      <w:hyperlink r:id="rId13" w:tgtFrame="_blank" w:tooltip="Formulário de Frequência Mensal." w:history="1">
        <w:r w:rsidRPr="00B9440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</w:rPr>
          <w:t>Formulário de Frequência Mensal</w:t>
        </w:r>
      </w:hyperlink>
      <w:r w:rsidRPr="00B94402">
        <w:rPr>
          <w:rFonts w:ascii="Times New Roman" w:eastAsia="Times New Roman" w:hAnsi="Times New Roman" w:cs="Times New Roman"/>
          <w:sz w:val="24"/>
        </w:rPr>
        <w:t xml:space="preserve"> preenchido; e protocolar fisicamente cópia na Central de Atendimento ao Aluno </w:t>
      </w:r>
      <w:r>
        <w:rPr>
          <w:rFonts w:ascii="Times New Roman" w:eastAsia="Times New Roman" w:hAnsi="Times New Roman" w:cs="Times New Roman"/>
          <w:sz w:val="24"/>
        </w:rPr>
        <w:t>para os procedimentos de desconto no pagamento da mensalidade do monitor remunerado por bolsa de atividade, ou para comprovação de trabalho para as demais bolsas;</w:t>
      </w:r>
    </w:p>
    <w:p w:rsidR="00586A7B" w:rsidRDefault="00586A7B" w:rsidP="00586A7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6.5. </w:t>
      </w:r>
      <w:r>
        <w:rPr>
          <w:rFonts w:ascii="Times New Roman" w:eastAsia="Times New Roman" w:hAnsi="Times New Roman" w:cs="Times New Roman"/>
          <w:sz w:val="24"/>
        </w:rPr>
        <w:t xml:space="preserve">O monitor deverá obrigatoriamente comparecer às reuniões e atividades, sempre que convocado pela Coordenação de Monitoria. O bolsista que não participar das reuniões, ou não apresentar, com antecedência, justificativa plausível assinada pelo professor/orientador ficará sujeito ao Art. 31 da </w:t>
      </w:r>
      <w:hyperlink r:id="rId14" w:tgtFrame="_blank" w:tooltip="Portaria de Monitoria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u w:val="none"/>
          </w:rPr>
          <w:t>Portaria de Monitoria</w:t>
        </w:r>
      </w:hyperlink>
      <w:r>
        <w:rPr>
          <w:rFonts w:ascii="Times New Roman" w:eastAsia="Times New Roman" w:hAnsi="Times New Roman" w:cs="Times New Roman"/>
          <w:sz w:val="24"/>
        </w:rPr>
        <w:t> (Nº 01 de 21 de Outubro de 2015).</w:t>
      </w:r>
    </w:p>
    <w:p w:rsidR="00586A7B" w:rsidRDefault="00586A7B" w:rsidP="00586A7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Parágrafo Único –</w:t>
      </w:r>
      <w:r>
        <w:rPr>
          <w:rFonts w:ascii="Times New Roman" w:eastAsia="Times New Roman" w:hAnsi="Times New Roman" w:cs="Times New Roman"/>
          <w:sz w:val="24"/>
        </w:rPr>
        <w:t xml:space="preserve"> Fica o monitor obrigado a comparecer em todas os eventos que a UNIFIMES promover ou participar.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 DA CERTIFICAÇÃO </w:t>
      </w:r>
    </w:p>
    <w:p w:rsidR="00586A7B" w:rsidRPr="00B94402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</w:rPr>
        <w:t xml:space="preserve"> Ao estudante que concluir com aproveitamento a monitoria e entregar a ficha de </w:t>
      </w:r>
      <w:hyperlink r:id="rId15" w:tgtFrame="_blank" w:tooltip="Avaliação Final do Monitor" w:history="1">
        <w:r w:rsidRPr="00B94402">
          <w:rPr>
            <w:rStyle w:val="Hyperlink"/>
            <w:rFonts w:ascii="Times New Roman" w:hAnsi="Times New Roman" w:cs="Times New Roman"/>
            <w:b/>
            <w:color w:val="auto"/>
          </w:rPr>
          <w:t>Avaliação Final do Monitor</w:t>
        </w:r>
      </w:hyperlink>
      <w:r w:rsidRPr="00B94402">
        <w:rPr>
          <w:rFonts w:ascii="Times New Roman" w:hAnsi="Times New Roman" w:cs="Times New Roman"/>
          <w:b/>
          <w:color w:val="auto"/>
          <w:u w:val="single"/>
        </w:rPr>
        <w:t>;</w:t>
      </w:r>
      <w:r w:rsidRPr="00B94402">
        <w:rPr>
          <w:rFonts w:ascii="Times New Roman" w:hAnsi="Times New Roman" w:cs="Times New Roman"/>
          <w:color w:val="auto"/>
        </w:rPr>
        <w:t xml:space="preserve"> será concedido o Certificado de Monitoria, contendo o período e a carga horária.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94402">
        <w:rPr>
          <w:rFonts w:ascii="Times New Roman" w:hAnsi="Times New Roman" w:cs="Times New Roman"/>
          <w:b/>
          <w:color w:val="auto"/>
        </w:rPr>
        <w:t>7.2.</w:t>
      </w:r>
      <w:r w:rsidRPr="00B94402">
        <w:rPr>
          <w:rFonts w:ascii="Times New Roman" w:hAnsi="Times New Roman" w:cs="Times New Roman"/>
          <w:color w:val="auto"/>
        </w:rPr>
        <w:t xml:space="preserve"> Ao orientador que entregar a </w:t>
      </w:r>
      <w:r w:rsidRPr="00B94402">
        <w:rPr>
          <w:rFonts w:ascii="Times New Roman" w:hAnsi="Times New Roman" w:cs="Times New Roman"/>
          <w:b/>
          <w:color w:val="auto"/>
          <w:u w:val="single"/>
        </w:rPr>
        <w:t>Avaliação Bimestral do Monitor;</w:t>
      </w:r>
      <w:r w:rsidRPr="00B94402">
        <w:rPr>
          <w:rFonts w:ascii="Times New Roman" w:hAnsi="Times New Roman" w:cs="Times New Roman"/>
          <w:color w:val="auto"/>
        </w:rPr>
        <w:t xml:space="preserve"> e d</w:t>
      </w:r>
      <w:r>
        <w:rPr>
          <w:rFonts w:ascii="Times New Roman" w:hAnsi="Times New Roman" w:cs="Times New Roman"/>
        </w:rPr>
        <w:t>emais documentos, concluindo a orientação será concedido o Certificado de Orientação em Monitoria.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</w:t>
      </w:r>
      <w:r>
        <w:rPr>
          <w:rFonts w:ascii="Times New Roman" w:hAnsi="Times New Roman" w:cs="Times New Roman"/>
        </w:rPr>
        <w:t xml:space="preserve"> O Certificado de Monitoria fará distinção entre os três tipos de monitoria – voluntária, remunerada e contrapartida. </w:t>
      </w:r>
    </w:p>
    <w:p w:rsidR="00586A7B" w:rsidRPr="00B94402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7.4. </w:t>
      </w:r>
      <w:r>
        <w:rPr>
          <w:rFonts w:ascii="Times New Roman" w:hAnsi="Times New Roman" w:cs="Times New Roman"/>
        </w:rPr>
        <w:t xml:space="preserve">As atividades de </w:t>
      </w:r>
      <w:r w:rsidRPr="00B94402">
        <w:rPr>
          <w:rFonts w:ascii="Times New Roman" w:hAnsi="Times New Roman" w:cs="Times New Roman"/>
          <w:color w:val="auto"/>
        </w:rPr>
        <w:t xml:space="preserve">monitorias são compreendidas como Atividades Complementares, conforme </w:t>
      </w:r>
      <w:hyperlink r:id="rId16" w:tgtFrame="_blank" w:tooltip="Portaria de Monitoria" w:history="1">
        <w:r w:rsidRPr="00B94402">
          <w:rPr>
            <w:rStyle w:val="Hyperlink"/>
            <w:rFonts w:ascii="Times New Roman" w:hAnsi="Times New Roman" w:cs="Times New Roman"/>
            <w:b/>
            <w:color w:val="auto"/>
          </w:rPr>
          <w:t>Portaria de Monitoria</w:t>
        </w:r>
      </w:hyperlink>
      <w:r w:rsidRPr="00B94402">
        <w:rPr>
          <w:rFonts w:ascii="Times New Roman" w:hAnsi="Times New Roman" w:cs="Times New Roman"/>
          <w:b/>
          <w:color w:val="auto"/>
        </w:rPr>
        <w:t> </w:t>
      </w:r>
      <w:r w:rsidRPr="00B94402">
        <w:rPr>
          <w:rFonts w:ascii="Times New Roman" w:hAnsi="Times New Roman" w:cs="Times New Roman"/>
          <w:color w:val="auto"/>
        </w:rPr>
        <w:t>(Nº 01 de 21 de Outubro de 2015).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8. DAS DATAS DO PROCESSO SELETIVO DE MONITORES 20</w:t>
      </w:r>
      <w:r w:rsidR="00AF1FA6">
        <w:rPr>
          <w:rFonts w:ascii="Times New Roman" w:hAnsi="Times New Roman" w:cs="Times New Roman"/>
          <w:b/>
          <w:bCs/>
        </w:rPr>
        <w:t>20</w:t>
      </w:r>
      <w:r>
        <w:rPr>
          <w:rStyle w:val="Refdenotaderodap"/>
          <w:rFonts w:ascii="Times New Roman" w:hAnsi="Times New Roman" w:cs="Times New Roman"/>
          <w:b/>
          <w:bCs/>
        </w:rPr>
        <w:footnoteReference w:id="1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3"/>
        <w:gridCol w:w="5591"/>
      </w:tblGrid>
      <w:tr w:rsidR="00586A7B" w:rsidTr="00586A7B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86A7B" w:rsidRDefault="00586A7B" w:rsidP="00AF1FA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CRONOGRAMA DO PROGRAMA DE MONITORIA 20</w:t>
            </w:r>
            <w:r w:rsidR="00AF1FA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6A7B" w:rsidRDefault="00586A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22"/>
              </w:rPr>
            </w:pPr>
          </w:p>
          <w:p w:rsidR="00586A7B" w:rsidRDefault="00AF1FA6" w:rsidP="00AF1FA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  <w:r w:rsidR="00586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novembro de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6"/>
                <w:szCs w:val="22"/>
              </w:rPr>
            </w:pPr>
          </w:p>
          <w:p w:rsidR="00586A7B" w:rsidRDefault="00586A7B" w:rsidP="00AF1F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Publicação do Edital de Abertura – MONITORIA 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B" w:rsidRDefault="00586A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</w:rPr>
            </w:pPr>
          </w:p>
          <w:p w:rsidR="00586A7B" w:rsidRDefault="00586A7B" w:rsidP="00AF1FA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SEMESTRE - 20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B" w:rsidRDefault="00586A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</w:rPr>
            </w:pPr>
          </w:p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DESCRIÇÃO DAS ATIVIDADE</w:t>
            </w:r>
          </w:p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4"/>
                <w:szCs w:val="22"/>
              </w:rPr>
            </w:pP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B" w:rsidRDefault="00586A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A7B" w:rsidRDefault="00586A7B" w:rsidP="00B944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até </w:t>
            </w:r>
            <w:r w:rsidR="00B94402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/02/20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 w:rsidP="00A6745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Organização e divulgação das vagas</w:t>
            </w:r>
          </w:p>
          <w:p w:rsidR="00586A7B" w:rsidRDefault="00586A7B" w:rsidP="00A6745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Período de inscrições;</w:t>
            </w:r>
          </w:p>
          <w:p w:rsidR="00586A7B" w:rsidRDefault="00586A7B" w:rsidP="00A6745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Realização da prova e demais etapas classificatórias (se houver);</w:t>
            </w:r>
          </w:p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 datas e horários das etapas acima serão definidos pelas Coordenações de Curso e Professores/Orientadores (item 3.2)</w:t>
            </w: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 w:rsidP="00B944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944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/02/20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>
            <w:pPr>
              <w:pStyle w:val="Default"/>
              <w:spacing w:before="100" w:beforeAutospacing="1" w:after="100" w:afterAutospacing="1" w:line="360" w:lineRule="auto"/>
              <w:ind w:left="1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Coordenação de Curso Divulgar Resultado Preliminar do Processo Seletivo do Programa de Monitoria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item 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B94402" w:rsidP="00AF1FA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16/</w:t>
            </w:r>
            <w:r w:rsidR="00586A7B">
              <w:rPr>
                <w:rFonts w:ascii="Times New Roman" w:hAnsi="Times New Roman" w:cs="Times New Roman"/>
                <w:b/>
                <w:sz w:val="22"/>
                <w:szCs w:val="22"/>
              </w:rPr>
              <w:t>02/20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>
            <w:pPr>
              <w:pStyle w:val="Default"/>
              <w:spacing w:before="100" w:beforeAutospacing="1" w:after="100" w:afterAutospacing="1" w:line="360" w:lineRule="auto"/>
              <w:ind w:left="1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Interposição de Recursos</w:t>
            </w:r>
          </w:p>
        </w:tc>
      </w:tr>
      <w:tr w:rsidR="00586A7B" w:rsidTr="00586A7B">
        <w:trPr>
          <w:trHeight w:val="25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 w:rsidP="00AF1FA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18/02/20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Entrega do Resultado final pelas Coordenações de Curso à Coordenação de Monitoria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item 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3"/>
        <w:gridCol w:w="5591"/>
      </w:tblGrid>
      <w:tr w:rsidR="00586A7B" w:rsidTr="00586A7B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86A7B" w:rsidRDefault="00586A7B" w:rsidP="00AF1FA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CRONOGRAMA DO PROGRAMA DE MONITORIA 20</w:t>
            </w:r>
            <w:r w:rsidR="00AF1FA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6A7B" w:rsidRDefault="00586A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22"/>
              </w:rPr>
            </w:pPr>
          </w:p>
          <w:p w:rsidR="00586A7B" w:rsidRDefault="00AF1FA6" w:rsidP="00AF1FA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  <w:r w:rsidR="00586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novembro de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6"/>
                <w:szCs w:val="22"/>
              </w:rPr>
            </w:pPr>
          </w:p>
          <w:p w:rsidR="00586A7B" w:rsidRDefault="00586A7B" w:rsidP="00AF1F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Publicação do Edital de Abertura – MONITORIA 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B" w:rsidRDefault="00586A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</w:rPr>
            </w:pPr>
          </w:p>
          <w:p w:rsidR="00586A7B" w:rsidRDefault="00586A7B" w:rsidP="00AF1FA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SEMESTRE - 20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B" w:rsidRDefault="00586A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</w:rPr>
            </w:pPr>
          </w:p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DESCRIÇÃO DAS ATIVIDADE</w:t>
            </w:r>
          </w:p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4"/>
                <w:szCs w:val="22"/>
              </w:rPr>
            </w:pP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7B" w:rsidRDefault="00586A7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A7B" w:rsidRDefault="00586A7B" w:rsidP="00B944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até 1</w:t>
            </w:r>
            <w:r w:rsidR="00B944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/08/20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 w:rsidP="00A6745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Organização e divulgação das vagas</w:t>
            </w:r>
          </w:p>
          <w:p w:rsidR="00586A7B" w:rsidRDefault="00586A7B" w:rsidP="00A6745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Período de inscrições;</w:t>
            </w:r>
          </w:p>
          <w:p w:rsidR="00586A7B" w:rsidRDefault="00586A7B" w:rsidP="00A6745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Realização da prova e demais etapas classificatórias (se houver);</w:t>
            </w:r>
          </w:p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 datas e horários das etapas acima serão definidos pelas Coordenações de Curso e Professores/Orientadores (item 3.1)</w:t>
            </w: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 w:rsidP="00B944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  <w:r w:rsidR="00B944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/08/20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>
            <w:pPr>
              <w:pStyle w:val="Default"/>
              <w:spacing w:before="100" w:beforeAutospacing="1" w:after="100" w:afterAutospacing="1" w:line="360" w:lineRule="auto"/>
              <w:ind w:left="1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Coordenação de Curso Divulgar Resultado Preliminar do Processo Seletivo do Programa de Monitoria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item 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A7B" w:rsidTr="00586A7B">
        <w:trPr>
          <w:trHeight w:val="11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 w:rsidP="00B944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944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/08/20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>
            <w:pPr>
              <w:pStyle w:val="Default"/>
              <w:spacing w:before="100" w:beforeAutospacing="1" w:after="100" w:afterAutospacing="1" w:line="360" w:lineRule="auto"/>
              <w:ind w:left="1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Interposição de Recursos</w:t>
            </w:r>
          </w:p>
        </w:tc>
      </w:tr>
      <w:tr w:rsidR="00586A7B" w:rsidTr="00586A7B">
        <w:trPr>
          <w:trHeight w:val="25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B94402" w:rsidP="00AF1FA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18/</w:t>
            </w:r>
            <w:r w:rsidR="00586A7B">
              <w:rPr>
                <w:rFonts w:ascii="Times New Roman" w:hAnsi="Times New Roman" w:cs="Times New Roman"/>
                <w:b/>
                <w:sz w:val="22"/>
                <w:szCs w:val="22"/>
              </w:rPr>
              <w:t>08/20</w:t>
            </w:r>
            <w:r w:rsidR="00AF1FA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7B" w:rsidRDefault="00586A7B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Entrega do Resultado final pelas Coordenações de Curso à Coordenação de Monitoria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item 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DAS RENOVAÇÕES DE BOLSAS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9.1</w:t>
      </w:r>
      <w:r>
        <w:rPr>
          <w:rFonts w:ascii="Times New Roman" w:hAnsi="Times New Roman" w:cs="Times New Roman"/>
          <w:color w:val="auto"/>
        </w:rPr>
        <w:t xml:space="preserve">Os candidatos selecionados para o </w:t>
      </w:r>
      <w:r>
        <w:rPr>
          <w:rFonts w:ascii="Times New Roman" w:hAnsi="Times New Roman" w:cs="Times New Roman"/>
          <w:b/>
          <w:color w:val="auto"/>
        </w:rPr>
        <w:t>semestre letivo 20</w:t>
      </w:r>
      <w:r w:rsidR="00AF1FA6">
        <w:rPr>
          <w:rFonts w:ascii="Times New Roman" w:hAnsi="Times New Roman" w:cs="Times New Roman"/>
          <w:b/>
          <w:color w:val="auto"/>
        </w:rPr>
        <w:t>20</w:t>
      </w:r>
      <w:r>
        <w:rPr>
          <w:rFonts w:ascii="Times New Roman" w:hAnsi="Times New Roman" w:cs="Times New Roman"/>
          <w:b/>
          <w:color w:val="auto"/>
        </w:rPr>
        <w:t>-1</w:t>
      </w:r>
      <w:r>
        <w:rPr>
          <w:rFonts w:ascii="Times New Roman" w:hAnsi="Times New Roman" w:cs="Times New Roman"/>
          <w:color w:val="auto"/>
        </w:rPr>
        <w:t xml:space="preserve">, podem ter prorrogada a bolsa por mais um semestre, </w:t>
      </w:r>
      <w:r>
        <w:rPr>
          <w:rFonts w:ascii="Times New Roman" w:hAnsi="Times New Roman" w:cs="Times New Roman"/>
          <w:b/>
          <w:color w:val="auto"/>
        </w:rPr>
        <w:t>20</w:t>
      </w:r>
      <w:r w:rsidR="00AF1FA6">
        <w:rPr>
          <w:rFonts w:ascii="Times New Roman" w:hAnsi="Times New Roman" w:cs="Times New Roman"/>
          <w:b/>
          <w:color w:val="auto"/>
        </w:rPr>
        <w:t>20</w:t>
      </w:r>
      <w:r>
        <w:rPr>
          <w:rFonts w:ascii="Times New Roman" w:hAnsi="Times New Roman" w:cs="Times New Roman"/>
          <w:b/>
          <w:color w:val="auto"/>
        </w:rPr>
        <w:t>-2</w:t>
      </w:r>
      <w:r>
        <w:rPr>
          <w:rFonts w:ascii="Times New Roman" w:hAnsi="Times New Roman" w:cs="Times New Roman"/>
          <w:color w:val="auto"/>
        </w:rPr>
        <w:t>, caso o monitor e orientador em consonância com Coordenação de Curso, Coordenação de Monitoria e Diretoria de Ensino, concordem com a necessidade.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10. DAS DISPOSIÇÕES FINAIS 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10.1. </w:t>
      </w:r>
      <w:r>
        <w:rPr>
          <w:rFonts w:ascii="Times New Roman" w:hAnsi="Times New Roman" w:cs="Times New Roman"/>
        </w:rPr>
        <w:t>Os casos omissos serão resolvidos pela Coordenação de Monitoria em comum acordo com o responsável pelo Núcleo de Assuntos Estudantis, a Coordenação do Curso e com a Diretoria de Ensino da UNIFIMES.</w:t>
      </w:r>
    </w:p>
    <w:p w:rsidR="00586A7B" w:rsidRDefault="00586A7B" w:rsidP="00586A7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86A7B" w:rsidRDefault="00586A7B" w:rsidP="00586A7B">
      <w:pPr>
        <w:pStyle w:val="Defaul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</w:t>
      </w:r>
    </w:p>
    <w:p w:rsidR="00586A7B" w:rsidRDefault="00586A7B" w:rsidP="00586A7B">
      <w:pPr>
        <w:pStyle w:val="Defaul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Profª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– Lúcia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ª Figueira Fernandes Costa</w:t>
      </w:r>
    </w:p>
    <w:p w:rsidR="00586A7B" w:rsidRDefault="00586A7B" w:rsidP="00586A7B">
      <w:pPr>
        <w:pStyle w:val="Defaul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Coordenadora do Programa de Monitoria</w:t>
      </w: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900CD" w:rsidRPr="003B1343" w:rsidRDefault="008900CD" w:rsidP="008900CD">
      <w:pPr>
        <w:pStyle w:val="Default"/>
        <w:rPr>
          <w:rFonts w:ascii="Times New Roman" w:hAnsi="Times New Roman" w:cs="Times New Roman"/>
          <w:b/>
          <w:bCs/>
        </w:rPr>
      </w:pPr>
      <w:r w:rsidRPr="003B1343">
        <w:rPr>
          <w:rFonts w:ascii="Times New Roman" w:hAnsi="Times New Roman" w:cs="Times New Roman"/>
          <w:b/>
          <w:bCs/>
        </w:rPr>
        <w:lastRenderedPageBreak/>
        <w:t>Anexo I</w:t>
      </w:r>
    </w:p>
    <w:p w:rsidR="008900CD" w:rsidRPr="003B1343" w:rsidRDefault="008900CD" w:rsidP="008900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B1343">
        <w:rPr>
          <w:rFonts w:ascii="Times New Roman" w:hAnsi="Times New Roman" w:cs="Times New Roman"/>
          <w:b/>
          <w:bCs/>
        </w:rPr>
        <w:t>Quadro</w:t>
      </w:r>
      <w:r>
        <w:rPr>
          <w:rFonts w:ascii="Times New Roman" w:hAnsi="Times New Roman" w:cs="Times New Roman"/>
          <w:b/>
          <w:bCs/>
        </w:rPr>
        <w:t xml:space="preserve"> I</w:t>
      </w:r>
      <w:r w:rsidRPr="003B1343">
        <w:rPr>
          <w:rFonts w:ascii="Times New Roman" w:hAnsi="Times New Roman" w:cs="Times New Roman"/>
          <w:b/>
          <w:bCs/>
        </w:rPr>
        <w:t xml:space="preserve">: Curso, </w:t>
      </w:r>
      <w:r>
        <w:rPr>
          <w:rFonts w:ascii="Times New Roman" w:hAnsi="Times New Roman" w:cs="Times New Roman"/>
          <w:b/>
          <w:bCs/>
        </w:rPr>
        <w:t xml:space="preserve">Disponibilização de </w:t>
      </w:r>
      <w:r w:rsidRPr="003B1343">
        <w:rPr>
          <w:rFonts w:ascii="Times New Roman" w:hAnsi="Times New Roman" w:cs="Times New Roman"/>
          <w:b/>
          <w:bCs/>
        </w:rPr>
        <w:t>vagas de monitoria</w:t>
      </w:r>
      <w:r>
        <w:rPr>
          <w:rFonts w:ascii="Times New Roman" w:hAnsi="Times New Roman" w:cs="Times New Roman"/>
          <w:b/>
          <w:bCs/>
        </w:rPr>
        <w:t>, Número de vagas de monitoria remunerada de 40 (quarenta) horas mensais.</w:t>
      </w:r>
      <w:r w:rsidRPr="003B134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tblInd w:w="-41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94"/>
        <w:gridCol w:w="3584"/>
        <w:gridCol w:w="2126"/>
      </w:tblGrid>
      <w:tr w:rsidR="008900CD" w:rsidRPr="003B1343" w:rsidTr="008900CD">
        <w:trPr>
          <w:trHeight w:val="322"/>
        </w:trPr>
        <w:tc>
          <w:tcPr>
            <w:tcW w:w="1643" w:type="pct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8900CD" w:rsidRPr="003B1343" w:rsidRDefault="008900CD" w:rsidP="00815E9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2107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900CD" w:rsidRPr="003B1343" w:rsidRDefault="008900CD" w:rsidP="00815E9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Disponibilização </w:t>
            </w:r>
            <w:r w:rsidRPr="003B1343">
              <w:rPr>
                <w:rFonts w:ascii="Times New Roman" w:hAnsi="Times New Roman" w:cs="Times New Roman"/>
                <w:b/>
              </w:rPr>
              <w:t>de vagas de monitoria</w:t>
            </w: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8900CD" w:rsidRPr="003B1343" w:rsidRDefault="008900CD" w:rsidP="00815E9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1343">
              <w:rPr>
                <w:rFonts w:ascii="Times New Roman" w:hAnsi="Times New Roman" w:cs="Times New Roman"/>
                <w:b/>
              </w:rPr>
              <w:t>Número de vagas de monitoria remunerada</w:t>
            </w:r>
          </w:p>
        </w:tc>
      </w:tr>
      <w:tr w:rsidR="008900CD" w:rsidRPr="003B1343" w:rsidTr="008900CD">
        <w:trPr>
          <w:trHeight w:val="438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B134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Agronomia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900CD" w:rsidRPr="003B1343" w:rsidRDefault="008900CD" w:rsidP="00815E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  <w:tcBorders>
              <w:top w:val="nil"/>
              <w:left w:val="nil"/>
              <w:bottom w:val="nil"/>
            </w:tcBorders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B134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Administração</w:t>
            </w:r>
          </w:p>
        </w:tc>
        <w:tc>
          <w:tcPr>
            <w:tcW w:w="2107" w:type="pct"/>
            <w:tcBorders>
              <w:top w:val="nil"/>
              <w:bottom w:val="nil"/>
            </w:tcBorders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8900CD" w:rsidRPr="003B1343" w:rsidRDefault="008900CD" w:rsidP="00815E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2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  <w:tcBorders>
              <w:top w:val="nil"/>
            </w:tcBorders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B134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Ciências Contábeis</w:t>
            </w:r>
          </w:p>
        </w:tc>
        <w:tc>
          <w:tcPr>
            <w:tcW w:w="2107" w:type="pct"/>
            <w:tcBorders>
              <w:top w:val="nil"/>
            </w:tcBorders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  <w:tcBorders>
              <w:top w:val="nil"/>
            </w:tcBorders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B134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Direito</w:t>
            </w:r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Direito (Unidade V – Trindade)</w:t>
            </w:r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B134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Educação Física</w:t>
            </w:r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Pr="003B1343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Engenharia Ambiental e Sanitária</w:t>
              </w:r>
            </w:hyperlink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18" w:history="1">
              <w:r w:rsidRPr="003B1343">
                <w:rPr>
                  <w:rFonts w:ascii="Times New Roman" w:hAnsi="Times New Roman" w:cs="Times New Roman"/>
                </w:rPr>
                <w:t>Engenharia Civil</w:t>
              </w:r>
            </w:hyperlink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Pr="003B1343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Engenharia Florestal</w:t>
              </w:r>
            </w:hyperlink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20" w:history="1">
              <w:r w:rsidRPr="003B1343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Medicina Veterinária</w:t>
              </w:r>
            </w:hyperlink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0CD" w:rsidRPr="00D3434D" w:rsidTr="008900CD">
        <w:trPr>
          <w:trHeight w:val="416"/>
        </w:trPr>
        <w:tc>
          <w:tcPr>
            <w:tcW w:w="1643" w:type="pct"/>
          </w:tcPr>
          <w:p w:rsidR="008900CD" w:rsidRPr="00D3434D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D3434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Medicina</w:t>
            </w:r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0CD" w:rsidRPr="00D3434D" w:rsidTr="008900CD">
        <w:trPr>
          <w:trHeight w:val="416"/>
        </w:trPr>
        <w:tc>
          <w:tcPr>
            <w:tcW w:w="1643" w:type="pct"/>
          </w:tcPr>
          <w:p w:rsidR="008900CD" w:rsidRPr="00D3434D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Medicina (Unidade V – Trindade)</w:t>
            </w:r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21" w:history="1">
              <w:r w:rsidRPr="003B1343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Psicologia</w:t>
              </w:r>
            </w:hyperlink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Pr="003B1343">
                <w:rPr>
                  <w:rFonts w:ascii="Times New Roman" w:hAnsi="Times New Roman" w:cs="Times New Roman"/>
                </w:rPr>
                <w:t>Pedagogia</w:t>
              </w:r>
            </w:hyperlink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CD" w:rsidRPr="003B1343" w:rsidTr="008900CD">
        <w:trPr>
          <w:trHeight w:val="416"/>
        </w:trPr>
        <w:tc>
          <w:tcPr>
            <w:tcW w:w="1643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23" w:history="1">
              <w:r w:rsidRPr="003B1343">
                <w:rPr>
                  <w:rFonts w:ascii="Times New Roman" w:hAnsi="Times New Roman" w:cs="Times New Roman"/>
                </w:rPr>
                <w:t>Sistemas de Informação</w:t>
              </w:r>
            </w:hyperlink>
          </w:p>
        </w:tc>
        <w:tc>
          <w:tcPr>
            <w:tcW w:w="2107" w:type="pct"/>
          </w:tcPr>
          <w:p w:rsidR="008900CD" w:rsidRPr="003B1343" w:rsidRDefault="008900CD" w:rsidP="00815E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1343">
              <w:rPr>
                <w:rFonts w:ascii="Times New Roman" w:hAnsi="Times New Roman" w:cs="Times New Roman"/>
              </w:rPr>
              <w:t>Disponibilizado pela coordenação do curso</w:t>
            </w:r>
          </w:p>
        </w:tc>
        <w:tc>
          <w:tcPr>
            <w:tcW w:w="1250" w:type="pct"/>
          </w:tcPr>
          <w:p w:rsidR="008900CD" w:rsidRPr="003B1343" w:rsidRDefault="008900CD" w:rsidP="0081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00CD" w:rsidRDefault="008900CD" w:rsidP="008900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B1343">
        <w:rPr>
          <w:rFonts w:ascii="Times New Roman" w:hAnsi="Times New Roman" w:cs="Times New Roman"/>
        </w:rPr>
        <w:t>TABELA 1 - Percentual de desconto em mensalidades referente a horas de monitoria</w:t>
      </w:r>
      <w:r>
        <w:rPr>
          <w:rFonts w:ascii="Times New Roman" w:hAnsi="Times New Roman" w:cs="Times New Roman"/>
        </w:rPr>
        <w:t xml:space="preserve"> remunerada</w:t>
      </w:r>
      <w:r w:rsidRPr="003B1343">
        <w:rPr>
          <w:rFonts w:ascii="Times New Roman" w:hAnsi="Times New Roman" w:cs="Times New Roman"/>
        </w:rPr>
        <w:t>.</w:t>
      </w:r>
      <w:r w:rsidRPr="003B1343">
        <w:rPr>
          <w:rFonts w:ascii="Times New Roman" w:hAnsi="Times New Roman" w:cs="Times New Roman"/>
          <w:i/>
          <w:noProof/>
          <w:lang w:eastAsia="pt-BR"/>
        </w:rPr>
        <w:lastRenderedPageBreak/>
        <w:drawing>
          <wp:inline distT="0" distB="0" distL="0" distR="0" wp14:anchorId="7E6D350B" wp14:editId="3E98E9E5">
            <wp:extent cx="5400675" cy="1233554"/>
            <wp:effectExtent l="0" t="0" r="0" b="508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268" t="40000" r="6078" b="1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53" cy="124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343">
        <w:rPr>
          <w:rFonts w:ascii="Times New Roman" w:hAnsi="Times New Roman" w:cs="Times New Roman"/>
          <w:i/>
        </w:rPr>
        <w:t xml:space="preserve">*Os alunos interessados devem procurar a </w:t>
      </w:r>
      <w:r>
        <w:rPr>
          <w:rFonts w:ascii="Times New Roman" w:hAnsi="Times New Roman" w:cs="Times New Roman"/>
          <w:i/>
        </w:rPr>
        <w:t>Coordenação</w:t>
      </w:r>
      <w:r w:rsidRPr="003B1343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>C</w:t>
      </w:r>
      <w:r w:rsidRPr="003B1343">
        <w:rPr>
          <w:rFonts w:ascii="Times New Roman" w:hAnsi="Times New Roman" w:cs="Times New Roman"/>
          <w:i/>
        </w:rPr>
        <w:t>urso para informações a respeito de critérios e procedimentos para seleção, data, local, horário, e demais informaçõe</w:t>
      </w:r>
      <w:r>
        <w:rPr>
          <w:rFonts w:ascii="Times New Roman" w:hAnsi="Times New Roman" w:cs="Times New Roman"/>
          <w:i/>
        </w:rPr>
        <w:t>s.</w:t>
      </w:r>
    </w:p>
    <w:p w:rsidR="008900CD" w:rsidRPr="008900CD" w:rsidRDefault="008900CD" w:rsidP="00586A7B">
      <w:pPr>
        <w:pStyle w:val="Defaul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86A7B" w:rsidRDefault="00586A7B" w:rsidP="0058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86A7B" w:rsidRDefault="00586A7B" w:rsidP="00586A7B">
      <w:pPr>
        <w:pStyle w:val="Default"/>
        <w:rPr>
          <w:rFonts w:ascii="Times New Roman" w:hAnsi="Times New Roman" w:cs="Times New Roman"/>
          <w:b/>
          <w:bCs/>
        </w:rPr>
      </w:pPr>
    </w:p>
    <w:p w:rsidR="00060E8E" w:rsidRDefault="000C0CE0"/>
    <w:sectPr w:rsidR="00060E8E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7B" w:rsidRDefault="00586A7B" w:rsidP="00586A7B">
      <w:pPr>
        <w:spacing w:after="0" w:line="240" w:lineRule="auto"/>
      </w:pPr>
      <w:r>
        <w:separator/>
      </w:r>
    </w:p>
  </w:endnote>
  <w:endnote w:type="continuationSeparator" w:id="0">
    <w:p w:rsidR="00586A7B" w:rsidRDefault="00586A7B" w:rsidP="0058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7B" w:rsidRDefault="00586A7B" w:rsidP="00586A7B">
      <w:pPr>
        <w:spacing w:after="0" w:line="240" w:lineRule="auto"/>
      </w:pPr>
      <w:r>
        <w:separator/>
      </w:r>
    </w:p>
  </w:footnote>
  <w:footnote w:type="continuationSeparator" w:id="0">
    <w:p w:rsidR="00586A7B" w:rsidRDefault="00586A7B" w:rsidP="00586A7B">
      <w:pPr>
        <w:spacing w:after="0" w:line="240" w:lineRule="auto"/>
      </w:pPr>
      <w:r>
        <w:continuationSeparator/>
      </w:r>
    </w:p>
  </w:footnote>
  <w:footnote w:id="1">
    <w:p w:rsidR="00586A7B" w:rsidRDefault="00586A7B" w:rsidP="00586A7B">
      <w:pPr>
        <w:pStyle w:val="Textodenotaderodap"/>
      </w:pPr>
      <w:r>
        <w:rPr>
          <w:rStyle w:val="Refdenotaderodap"/>
        </w:rPr>
        <w:footnoteRef/>
      </w:r>
      <w:r>
        <w:t xml:space="preserve"> Todas as datas estão em conformidade com o Calendário Acadêmico 20</w:t>
      </w:r>
      <w:r w:rsidR="00AF1FA6">
        <w:t>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5B" w:rsidRDefault="00CC7E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D628B2" wp14:editId="3AE3EB5D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28560" cy="1382395"/>
          <wp:effectExtent l="0" t="0" r="0" b="8255"/>
          <wp:wrapSquare wrapText="bothSides"/>
          <wp:docPr id="4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itoria UNIFIM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38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E5B" w:rsidRDefault="00CC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56C"/>
    <w:multiLevelType w:val="hybridMultilevel"/>
    <w:tmpl w:val="8070C8B2"/>
    <w:lvl w:ilvl="0" w:tplc="31EC718C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22006"/>
    <w:multiLevelType w:val="hybridMultilevel"/>
    <w:tmpl w:val="C2A4A508"/>
    <w:lvl w:ilvl="0" w:tplc="D0C6CE3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6FB6"/>
    <w:multiLevelType w:val="hybridMultilevel"/>
    <w:tmpl w:val="999EE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5CD"/>
    <w:multiLevelType w:val="hybridMultilevel"/>
    <w:tmpl w:val="C3EEF4F4"/>
    <w:lvl w:ilvl="0" w:tplc="FE14F9C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802CB"/>
    <w:multiLevelType w:val="hybridMultilevel"/>
    <w:tmpl w:val="999EE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05"/>
    <w:rsid w:val="000C0CE0"/>
    <w:rsid w:val="001959D7"/>
    <w:rsid w:val="00470EC6"/>
    <w:rsid w:val="00586A7B"/>
    <w:rsid w:val="0072393C"/>
    <w:rsid w:val="007D3C5E"/>
    <w:rsid w:val="008900CD"/>
    <w:rsid w:val="00AF1FA6"/>
    <w:rsid w:val="00B328F9"/>
    <w:rsid w:val="00B43729"/>
    <w:rsid w:val="00B53D05"/>
    <w:rsid w:val="00B94402"/>
    <w:rsid w:val="00C27E59"/>
    <w:rsid w:val="00CC7E5B"/>
    <w:rsid w:val="00F97613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EA94-32DA-4293-A6F8-27995E8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6A7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A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A7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86A7B"/>
    <w:pPr>
      <w:ind w:left="720"/>
      <w:contextualSpacing/>
    </w:pPr>
  </w:style>
  <w:style w:type="paragraph" w:customStyle="1" w:styleId="Default">
    <w:name w:val="Default"/>
    <w:rsid w:val="00586A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58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86A7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E5B"/>
  </w:style>
  <w:style w:type="paragraph" w:styleId="Rodap">
    <w:name w:val="footer"/>
    <w:basedOn w:val="Normal"/>
    <w:link w:val="RodapChar"/>
    <w:uiPriority w:val="99"/>
    <w:unhideWhenUsed/>
    <w:rsid w:val="00CC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E5B"/>
  </w:style>
  <w:style w:type="paragraph" w:styleId="Textodebalo">
    <w:name w:val="Balloon Text"/>
    <w:basedOn w:val="Normal"/>
    <w:link w:val="TextodebaloChar"/>
    <w:uiPriority w:val="99"/>
    <w:semiHidden/>
    <w:unhideWhenUsed/>
    <w:rsid w:val="00CC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imes.edu.br/admin/siterapido/uploads/Monitoria/formulario%20unico.docx" TargetMode="External"/><Relationship Id="rId13" Type="http://schemas.openxmlformats.org/officeDocument/2006/relationships/hyperlink" Target="http://www.unifimes.edu.br/admin/siterapido/uploads/Monitoria/frequencia%20mensal.docx" TargetMode="External"/><Relationship Id="rId18" Type="http://schemas.openxmlformats.org/officeDocument/2006/relationships/hyperlink" Target="http://www.unifimes.edu.br/paginas/curso/curso.php?id=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nifimes.edu.br/paginas/curso/curso.php?id=10" TargetMode="External"/><Relationship Id="rId7" Type="http://schemas.openxmlformats.org/officeDocument/2006/relationships/hyperlink" Target="http://www.unifimes.edu.br/admin/siterapido/uploads/Monitoria/Portaria%20de%20MONITORIA.pdf" TargetMode="External"/><Relationship Id="rId12" Type="http://schemas.openxmlformats.org/officeDocument/2006/relationships/hyperlink" Target="mailto:monitoria@unifimes.edu.br" TargetMode="External"/><Relationship Id="rId17" Type="http://schemas.openxmlformats.org/officeDocument/2006/relationships/hyperlink" Target="http://www.unifimes.edu.br/paginas/curso/curso.php?id=2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fimes.edu.br/admin/siterapido/uploads/Monitoria/Portaria%20de%20MONITORIA.pdf" TargetMode="External"/><Relationship Id="rId20" Type="http://schemas.openxmlformats.org/officeDocument/2006/relationships/hyperlink" Target="http://www.unifimes.edu.br/paginas/curso/curso.php?id=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fimes.edu.br/admin/siterapido/uploads/Monitoria/formulario%20unico.docx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unifimes.edu.br/admin/siterapido/uploads/Monitoria/avalia%C3%A7%C3%A3o%20final%20monitor.docx" TargetMode="External"/><Relationship Id="rId23" Type="http://schemas.openxmlformats.org/officeDocument/2006/relationships/hyperlink" Target="http://www.unifimes.edu.br/paginas/curso/curso.php?id=5" TargetMode="External"/><Relationship Id="rId10" Type="http://schemas.openxmlformats.org/officeDocument/2006/relationships/hyperlink" Target="http://www.unifimes.edu.br/admin/siterapido/uploads/Monitoria/Planilha%20Monitores%20Selecionados.xlsx" TargetMode="External"/><Relationship Id="rId19" Type="http://schemas.openxmlformats.org/officeDocument/2006/relationships/hyperlink" Target="http://www.unifimes.edu.br/paginas/curso/curso.php?id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toria@unifimes.edu.br" TargetMode="External"/><Relationship Id="rId14" Type="http://schemas.openxmlformats.org/officeDocument/2006/relationships/hyperlink" Target="http://www.unifimes.edu.br/admin/siterapido/uploads/Monitoria/Portaria%20de%20MONITORIA.pdf" TargetMode="External"/><Relationship Id="rId22" Type="http://schemas.openxmlformats.org/officeDocument/2006/relationships/hyperlink" Target="http://www.unifimes.edu.br/paginas/curso/curso.php?id=8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2116</Words>
  <Characters>11432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16</cp:revision>
  <cp:lastPrinted>2019-11-05T21:28:00Z</cp:lastPrinted>
  <dcterms:created xsi:type="dcterms:W3CDTF">2019-11-04T17:40:00Z</dcterms:created>
  <dcterms:modified xsi:type="dcterms:W3CDTF">2019-11-05T21:42:00Z</dcterms:modified>
</cp:coreProperties>
</file>